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7B8A" w14:textId="77777777" w:rsidR="00824718" w:rsidRDefault="00834F54">
      <w:pPr>
        <w:pStyle w:val="Title"/>
        <w:jc w:val="center"/>
      </w:pPr>
      <w:bookmarkStart w:id="0" w:name="_4gxlxgns42hs" w:colFirst="0" w:colLast="0"/>
      <w:bookmarkEnd w:id="0"/>
      <w:r>
        <w:t>Call for Paper - Template</w:t>
      </w:r>
    </w:p>
    <w:p w14:paraId="55B319F9" w14:textId="641CD2D8" w:rsidR="00824718" w:rsidRDefault="00834F54" w:rsidP="00A72CAF">
      <w:pPr>
        <w:pStyle w:val="Heading2"/>
        <w:jc w:val="both"/>
        <w:rPr>
          <w:sz w:val="22"/>
          <w:szCs w:val="22"/>
        </w:rPr>
      </w:pPr>
      <w:bookmarkStart w:id="1" w:name="_cah54bbb4j8l" w:colFirst="0" w:colLast="0"/>
      <w:bookmarkEnd w:id="1"/>
      <w:r>
        <w:rPr>
          <w:sz w:val="22"/>
          <w:szCs w:val="22"/>
        </w:rPr>
        <w:t xml:space="preserve">Here is a handy template you can use for your next call for papers. For this </w:t>
      </w:r>
      <w:r w:rsidR="00A72CAF">
        <w:rPr>
          <w:sz w:val="22"/>
          <w:szCs w:val="22"/>
        </w:rPr>
        <w:t>example,</w:t>
      </w:r>
      <w:r>
        <w:rPr>
          <w:sz w:val="22"/>
          <w:szCs w:val="22"/>
        </w:rPr>
        <w:t xml:space="preserve"> we’ll be using a fabricated conference called International Conference on Shared River Management in the Mekong Delta, taking place in Tel Aviv, Israel, in November 2022.</w:t>
      </w:r>
    </w:p>
    <w:p w14:paraId="52F8522D" w14:textId="77777777" w:rsidR="00824718" w:rsidRDefault="0082471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4718" w14:paraId="61683058" w14:textId="77777777">
        <w:tc>
          <w:tcPr>
            <w:tcW w:w="9360" w:type="dxa"/>
            <w:shd w:val="clear" w:color="auto" w:fill="auto"/>
            <w:tcMar>
              <w:top w:w="100" w:type="dxa"/>
              <w:left w:w="100" w:type="dxa"/>
              <w:bottom w:w="100" w:type="dxa"/>
              <w:right w:w="100" w:type="dxa"/>
            </w:tcMar>
          </w:tcPr>
          <w:p w14:paraId="1B7577B2" w14:textId="77777777" w:rsidR="00824718" w:rsidRDefault="00834F54">
            <w:pPr>
              <w:rPr>
                <w:i/>
              </w:rPr>
            </w:pPr>
            <w:r>
              <w:rPr>
                <w:b/>
                <w:i/>
              </w:rPr>
              <w:t>Email subject line:</w:t>
            </w:r>
            <w:r>
              <w:rPr>
                <w:i/>
              </w:rPr>
              <w:t xml:space="preserve"> Mekong Delta Shared Management: Connect with other experts</w:t>
            </w:r>
          </w:p>
          <w:p w14:paraId="047D97FF" w14:textId="77777777" w:rsidR="00824718" w:rsidRDefault="00824718">
            <w:pPr>
              <w:rPr>
                <w:i/>
              </w:rPr>
            </w:pPr>
          </w:p>
          <w:p w14:paraId="613CCB2E" w14:textId="77777777" w:rsidR="00824718" w:rsidRDefault="00834F54">
            <w:pPr>
              <w:rPr>
                <w:b/>
                <w:i/>
              </w:rPr>
            </w:pPr>
            <w:r>
              <w:rPr>
                <w:b/>
                <w:i/>
              </w:rPr>
              <w:t>Call for Papers: International Conference on Shared River Management in the Mekong Delta</w:t>
            </w:r>
          </w:p>
          <w:p w14:paraId="744B90BB" w14:textId="77777777" w:rsidR="00824718" w:rsidRDefault="00824718">
            <w:pPr>
              <w:rPr>
                <w:b/>
                <w:i/>
              </w:rPr>
            </w:pPr>
          </w:p>
          <w:p w14:paraId="11FC3ACA" w14:textId="77777777" w:rsidR="00824718" w:rsidRDefault="00834F54">
            <w:pPr>
              <w:rPr>
                <w:i/>
              </w:rPr>
            </w:pPr>
            <w:r>
              <w:rPr>
                <w:i/>
              </w:rPr>
              <w:t>November 17-22, 2022</w:t>
            </w:r>
          </w:p>
          <w:p w14:paraId="14681DBE" w14:textId="77777777" w:rsidR="00824718" w:rsidRDefault="00834F54">
            <w:pPr>
              <w:rPr>
                <w:i/>
              </w:rPr>
            </w:pPr>
            <w:r>
              <w:rPr>
                <w:i/>
              </w:rPr>
              <w:t>Tel Aviv, Israel</w:t>
            </w:r>
          </w:p>
          <w:p w14:paraId="7949CB00" w14:textId="77777777" w:rsidR="00824718" w:rsidRDefault="00824718">
            <w:pPr>
              <w:rPr>
                <w:b/>
                <w:i/>
              </w:rPr>
            </w:pPr>
          </w:p>
          <w:p w14:paraId="1EFDBC0F" w14:textId="77777777" w:rsidR="00824718" w:rsidRDefault="00834F54">
            <w:pPr>
              <w:rPr>
                <w:b/>
                <w:i/>
              </w:rPr>
            </w:pPr>
            <w:hyperlink r:id="rId7">
              <w:r>
                <w:rPr>
                  <w:b/>
                  <w:i/>
                  <w:color w:val="1155CC"/>
                  <w:u w:val="single"/>
                </w:rPr>
                <w:t>www.eventwebsite.com</w:t>
              </w:r>
            </w:hyperlink>
          </w:p>
          <w:p w14:paraId="07244513" w14:textId="77777777" w:rsidR="00824718" w:rsidRDefault="00824718">
            <w:pPr>
              <w:rPr>
                <w:b/>
                <w:i/>
              </w:rPr>
            </w:pPr>
          </w:p>
          <w:p w14:paraId="157A912B" w14:textId="77777777" w:rsidR="00824718" w:rsidRDefault="00834F54">
            <w:pPr>
              <w:rPr>
                <w:b/>
                <w:i/>
              </w:rPr>
            </w:pPr>
            <w:r>
              <w:rPr>
                <w:b/>
                <w:i/>
              </w:rPr>
              <w:t>Introduction:</w:t>
            </w:r>
          </w:p>
          <w:p w14:paraId="1A1FD8FE" w14:textId="77777777" w:rsidR="00824718" w:rsidRDefault="00834F54">
            <w:pPr>
              <w:rPr>
                <w:i/>
              </w:rPr>
            </w:pPr>
            <w:r>
              <w:rPr>
                <w:i/>
              </w:rPr>
              <w:t>As an expert in the politics surrounding the Mekong Delta, the organizing committee of the International Conference on Shared River Management in the Mekong Delta welcomes you to submit your research as your application</w:t>
            </w:r>
            <w:r>
              <w:rPr>
                <w:i/>
              </w:rPr>
              <w:t xml:space="preserve"> to present at this event. </w:t>
            </w:r>
          </w:p>
          <w:p w14:paraId="52D44EDB" w14:textId="77777777" w:rsidR="00824718" w:rsidRDefault="00824718">
            <w:pPr>
              <w:rPr>
                <w:i/>
              </w:rPr>
            </w:pPr>
          </w:p>
          <w:p w14:paraId="35E20572" w14:textId="77777777" w:rsidR="00824718" w:rsidRDefault="00834F54">
            <w:pPr>
              <w:rPr>
                <w:i/>
              </w:rPr>
            </w:pPr>
            <w:r>
              <w:rPr>
                <w:i/>
              </w:rPr>
              <w:t xml:space="preserve">This conference will be an excellent opportunity to connect with other experts in your field and make a meaningful contribution to the advancement of responsible, shared river management in the Mekong Delta. </w:t>
            </w:r>
          </w:p>
          <w:p w14:paraId="3AF7B0BE" w14:textId="77777777" w:rsidR="00824718" w:rsidRDefault="00824718">
            <w:pPr>
              <w:rPr>
                <w:b/>
                <w:i/>
              </w:rPr>
            </w:pPr>
          </w:p>
          <w:p w14:paraId="4B444A0E" w14:textId="77777777" w:rsidR="00824718" w:rsidRDefault="00834F54">
            <w:pPr>
              <w:rPr>
                <w:b/>
                <w:i/>
              </w:rPr>
            </w:pPr>
            <w:r>
              <w:rPr>
                <w:b/>
                <w:i/>
              </w:rPr>
              <w:t>Dates to remember</w:t>
            </w:r>
            <w:r>
              <w:rPr>
                <w:b/>
                <w:i/>
              </w:rPr>
              <w:t>:</w:t>
            </w:r>
          </w:p>
          <w:p w14:paraId="15D9DD8B" w14:textId="77777777" w:rsidR="00824718" w:rsidRDefault="00824718">
            <w:pPr>
              <w:rPr>
                <w:b/>
                <w:i/>
              </w:rPr>
            </w:pPr>
          </w:p>
          <w:p w14:paraId="6214EAE5" w14:textId="77777777" w:rsidR="00824718" w:rsidRDefault="00834F54">
            <w:pPr>
              <w:rPr>
                <w:i/>
              </w:rPr>
            </w:pPr>
            <w:r>
              <w:rPr>
                <w:b/>
                <w:i/>
              </w:rPr>
              <w:t xml:space="preserve">Intent to submit: </w:t>
            </w:r>
            <w:r>
              <w:rPr>
                <w:i/>
              </w:rPr>
              <w:t>May 1, 2022</w:t>
            </w:r>
          </w:p>
          <w:p w14:paraId="57844562" w14:textId="77777777" w:rsidR="00824718" w:rsidRDefault="00834F54">
            <w:pPr>
              <w:rPr>
                <w:i/>
              </w:rPr>
            </w:pPr>
            <w:r>
              <w:rPr>
                <w:b/>
                <w:i/>
              </w:rPr>
              <w:t xml:space="preserve">Submission deadline: </w:t>
            </w:r>
            <w:r>
              <w:rPr>
                <w:i/>
              </w:rPr>
              <w:t>June 15, 2022</w:t>
            </w:r>
          </w:p>
          <w:p w14:paraId="0866938D" w14:textId="77777777" w:rsidR="00824718" w:rsidRDefault="00834F54">
            <w:pPr>
              <w:rPr>
                <w:i/>
              </w:rPr>
            </w:pPr>
            <w:r>
              <w:rPr>
                <w:b/>
                <w:i/>
              </w:rPr>
              <w:t xml:space="preserve">Decision date: </w:t>
            </w:r>
            <w:r>
              <w:rPr>
                <w:i/>
              </w:rPr>
              <w:t>September 1, 2022</w:t>
            </w:r>
          </w:p>
          <w:p w14:paraId="62373E9E" w14:textId="77777777" w:rsidR="00824718" w:rsidRDefault="00824718">
            <w:pPr>
              <w:rPr>
                <w:b/>
                <w:i/>
              </w:rPr>
            </w:pPr>
          </w:p>
          <w:p w14:paraId="7C6A2EA7" w14:textId="77777777" w:rsidR="00824718" w:rsidRDefault="00834F54">
            <w:pPr>
              <w:rPr>
                <w:b/>
                <w:i/>
              </w:rPr>
            </w:pPr>
            <w:r>
              <w:rPr>
                <w:b/>
                <w:i/>
              </w:rPr>
              <w:t xml:space="preserve">Submitting is easy! Just use our handy submission portal available here. </w:t>
            </w:r>
          </w:p>
          <w:p w14:paraId="108CB528" w14:textId="77777777" w:rsidR="00824718" w:rsidRDefault="00824718">
            <w:pPr>
              <w:rPr>
                <w:b/>
                <w:i/>
              </w:rPr>
            </w:pPr>
          </w:p>
          <w:p w14:paraId="010E7602" w14:textId="77777777" w:rsidR="00824718" w:rsidRDefault="00834F54">
            <w:pPr>
              <w:rPr>
                <w:b/>
                <w:i/>
              </w:rPr>
            </w:pPr>
            <w:r>
              <w:rPr>
                <w:b/>
                <w:i/>
              </w:rPr>
              <w:t xml:space="preserve">Submission guidelines: </w:t>
            </w:r>
          </w:p>
          <w:p w14:paraId="22D1E03A" w14:textId="77777777" w:rsidR="00824718" w:rsidRDefault="00834F54">
            <w:pPr>
              <w:rPr>
                <w:i/>
              </w:rPr>
            </w:pPr>
            <w:r>
              <w:rPr>
                <w:i/>
              </w:rPr>
              <w:t>Please submit your full research paper, including the a</w:t>
            </w:r>
            <w:r>
              <w:rPr>
                <w:i/>
              </w:rPr>
              <w:t xml:space="preserve">bstract. </w:t>
            </w:r>
          </w:p>
          <w:p w14:paraId="6893DF12" w14:textId="77777777" w:rsidR="00824718" w:rsidRDefault="00834F54">
            <w:pPr>
              <w:numPr>
                <w:ilvl w:val="0"/>
                <w:numId w:val="2"/>
              </w:numPr>
              <w:rPr>
                <w:i/>
              </w:rPr>
            </w:pPr>
            <w:r>
              <w:rPr>
                <w:i/>
              </w:rPr>
              <w:lastRenderedPageBreak/>
              <w:t>Papers - no more than 1600 words</w:t>
            </w:r>
          </w:p>
          <w:p w14:paraId="0BE19E41" w14:textId="77777777" w:rsidR="00824718" w:rsidRDefault="00834F54">
            <w:pPr>
              <w:numPr>
                <w:ilvl w:val="0"/>
                <w:numId w:val="2"/>
              </w:numPr>
              <w:rPr>
                <w:i/>
              </w:rPr>
            </w:pPr>
            <w:r>
              <w:rPr>
                <w:i/>
              </w:rPr>
              <w:t xml:space="preserve">Abstracts - approximately 300 words </w:t>
            </w:r>
          </w:p>
          <w:p w14:paraId="6980E433" w14:textId="77777777" w:rsidR="00824718" w:rsidRDefault="00824718">
            <w:pPr>
              <w:rPr>
                <w:b/>
                <w:i/>
              </w:rPr>
            </w:pPr>
          </w:p>
          <w:p w14:paraId="10BF6866" w14:textId="77777777" w:rsidR="00824718" w:rsidRDefault="00834F54">
            <w:pPr>
              <w:rPr>
                <w:b/>
                <w:i/>
              </w:rPr>
            </w:pPr>
            <w:r>
              <w:rPr>
                <w:b/>
                <w:i/>
              </w:rPr>
              <w:t xml:space="preserve">Review process: </w:t>
            </w:r>
          </w:p>
          <w:p w14:paraId="1A14CBCD" w14:textId="77777777" w:rsidR="00824718" w:rsidRDefault="00834F54">
            <w:pPr>
              <w:rPr>
                <w:i/>
                <w:highlight w:val="white"/>
              </w:rPr>
            </w:pPr>
            <w:r>
              <w:rPr>
                <w:i/>
              </w:rPr>
              <w:t xml:space="preserve">As you know, predatory conferences are a great threat to the legitimacy and integrity of </w:t>
            </w:r>
            <w:proofErr w:type="gramStart"/>
            <w:r>
              <w:rPr>
                <w:i/>
              </w:rPr>
              <w:t>academia as a whole</w:t>
            </w:r>
            <w:proofErr w:type="gramEnd"/>
            <w:r>
              <w:rPr>
                <w:i/>
              </w:rPr>
              <w:t>. We want you, and the scientific community, to be confident that all content presented at this event is thoroughly vetted and reviewed. That is why</w:t>
            </w:r>
            <w:r>
              <w:rPr>
                <w:i/>
              </w:rPr>
              <w:t xml:space="preserve"> we will be using a single-blind review process </w:t>
            </w:r>
            <w:r>
              <w:rPr>
                <w:i/>
                <w:highlight w:val="white"/>
              </w:rPr>
              <w:t xml:space="preserve">to evaluate all submissions. </w:t>
            </w:r>
          </w:p>
          <w:p w14:paraId="2ADB3A89" w14:textId="77777777" w:rsidR="00824718" w:rsidRDefault="00824718">
            <w:pPr>
              <w:rPr>
                <w:i/>
                <w:highlight w:val="white"/>
              </w:rPr>
            </w:pPr>
          </w:p>
          <w:p w14:paraId="3761630D" w14:textId="77777777" w:rsidR="00824718" w:rsidRDefault="00834F54">
            <w:pPr>
              <w:rPr>
                <w:b/>
                <w:i/>
              </w:rPr>
            </w:pPr>
            <w:r>
              <w:rPr>
                <w:b/>
                <w:i/>
              </w:rPr>
              <w:t>Next steps:</w:t>
            </w:r>
          </w:p>
          <w:p w14:paraId="2E21B5ED" w14:textId="77777777" w:rsidR="00824718" w:rsidRDefault="00834F54">
            <w:pPr>
              <w:numPr>
                <w:ilvl w:val="0"/>
                <w:numId w:val="1"/>
              </w:numPr>
              <w:rPr>
                <w:i/>
              </w:rPr>
            </w:pPr>
            <w:r>
              <w:rPr>
                <w:i/>
              </w:rPr>
              <w:t>Submit your paper through the link above</w:t>
            </w:r>
          </w:p>
          <w:p w14:paraId="5E4D1485" w14:textId="77777777" w:rsidR="00824718" w:rsidRDefault="00834F54">
            <w:pPr>
              <w:numPr>
                <w:ilvl w:val="0"/>
                <w:numId w:val="1"/>
              </w:numPr>
              <w:rPr>
                <w:i/>
              </w:rPr>
            </w:pPr>
            <w:r>
              <w:rPr>
                <w:i/>
              </w:rPr>
              <w:t>You will receive a confirmation email letting you know that we’ve received your application</w:t>
            </w:r>
          </w:p>
          <w:p w14:paraId="4E1920D6" w14:textId="77777777" w:rsidR="00824718" w:rsidRDefault="00834F54">
            <w:pPr>
              <w:numPr>
                <w:ilvl w:val="0"/>
                <w:numId w:val="1"/>
              </w:numPr>
              <w:rPr>
                <w:i/>
              </w:rPr>
            </w:pPr>
            <w:r>
              <w:rPr>
                <w:i/>
              </w:rPr>
              <w:t>We’ll reach out on or before Sep</w:t>
            </w:r>
            <w:r>
              <w:rPr>
                <w:i/>
              </w:rPr>
              <w:t>tember 1, 2022, to let you know if your application was successful</w:t>
            </w:r>
          </w:p>
          <w:p w14:paraId="350D8883" w14:textId="77777777" w:rsidR="00824718" w:rsidRDefault="00824718">
            <w:pPr>
              <w:rPr>
                <w:i/>
              </w:rPr>
            </w:pPr>
          </w:p>
          <w:p w14:paraId="633ACA1A" w14:textId="77777777" w:rsidR="00824718" w:rsidRDefault="00834F54">
            <w:pPr>
              <w:widowControl w:val="0"/>
              <w:spacing w:line="240" w:lineRule="auto"/>
            </w:pPr>
            <w:r>
              <w:rPr>
                <w:i/>
              </w:rPr>
              <w:t xml:space="preserve">Please don’t hesitate to contact us if you have any questions about this process. </w:t>
            </w:r>
          </w:p>
        </w:tc>
      </w:tr>
    </w:tbl>
    <w:p w14:paraId="75138532" w14:textId="77777777" w:rsidR="00824718" w:rsidRDefault="00824718"/>
    <w:sectPr w:rsidR="00824718">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9D34" w14:textId="77777777" w:rsidR="00834F54" w:rsidRDefault="00834F54">
      <w:pPr>
        <w:spacing w:line="240" w:lineRule="auto"/>
      </w:pPr>
      <w:r>
        <w:separator/>
      </w:r>
    </w:p>
  </w:endnote>
  <w:endnote w:type="continuationSeparator" w:id="0">
    <w:p w14:paraId="2EC39BEA" w14:textId="77777777" w:rsidR="00834F54" w:rsidRDefault="00834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93D0" w14:textId="77777777" w:rsidR="00824718" w:rsidRDefault="00824718">
    <w:pPr>
      <w:widowControl w:val="0"/>
      <w:pBdr>
        <w:top w:val="nil"/>
        <w:left w:val="nil"/>
        <w:bottom w:val="nil"/>
        <w:right w:val="nil"/>
        <w:between w:val="nil"/>
      </w:pBdr>
      <w:rPr>
        <w:b/>
      </w:rPr>
    </w:pPr>
  </w:p>
  <w:tbl>
    <w:tblPr>
      <w:tblStyle w:val="a0"/>
      <w:tblW w:w="988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9180"/>
    </w:tblGrid>
    <w:tr w:rsidR="00824718" w14:paraId="4D63D5AF" w14:textId="77777777">
      <w:tc>
        <w:tcPr>
          <w:tcW w:w="705" w:type="dxa"/>
          <w:tcBorders>
            <w:top w:val="nil"/>
            <w:left w:val="nil"/>
            <w:bottom w:val="nil"/>
            <w:right w:val="nil"/>
          </w:tcBorders>
          <w:shd w:val="clear" w:color="auto" w:fill="auto"/>
          <w:tcMar>
            <w:top w:w="100" w:type="dxa"/>
            <w:left w:w="100" w:type="dxa"/>
            <w:bottom w:w="100" w:type="dxa"/>
            <w:right w:w="100" w:type="dxa"/>
          </w:tcMar>
        </w:tcPr>
        <w:p w14:paraId="296C73D2" w14:textId="77777777" w:rsidR="00824718" w:rsidRDefault="00834F54">
          <w:pPr>
            <w:widowControl w:val="0"/>
            <w:spacing w:line="240" w:lineRule="auto"/>
            <w:rPr>
              <w:b/>
            </w:rPr>
          </w:pPr>
          <w:r>
            <w:rPr>
              <w:b/>
              <w:noProof/>
            </w:rPr>
            <w:drawing>
              <wp:inline distT="114300" distB="114300" distL="114300" distR="114300" wp14:anchorId="4E0EFC76" wp14:editId="2FF812AF">
                <wp:extent cx="300038" cy="300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0038" cy="300038"/>
                        </a:xfrm>
                        <a:prstGeom prst="rect">
                          <a:avLst/>
                        </a:prstGeom>
                        <a:ln/>
                      </pic:spPr>
                    </pic:pic>
                  </a:graphicData>
                </a:graphic>
              </wp:inline>
            </w:drawing>
          </w:r>
        </w:p>
      </w:tc>
      <w:tc>
        <w:tcPr>
          <w:tcW w:w="9180" w:type="dxa"/>
          <w:tcBorders>
            <w:top w:val="nil"/>
            <w:left w:val="nil"/>
            <w:bottom w:val="nil"/>
            <w:right w:val="nil"/>
          </w:tcBorders>
          <w:shd w:val="clear" w:color="auto" w:fill="auto"/>
          <w:tcMar>
            <w:top w:w="100" w:type="dxa"/>
            <w:left w:w="100" w:type="dxa"/>
            <w:bottom w:w="100" w:type="dxa"/>
            <w:right w:w="100" w:type="dxa"/>
          </w:tcMar>
        </w:tcPr>
        <w:p w14:paraId="40A41049" w14:textId="77777777" w:rsidR="00824718" w:rsidRDefault="00834F54">
          <w:pPr>
            <w:widowControl w:val="0"/>
            <w:pBdr>
              <w:top w:val="nil"/>
              <w:left w:val="nil"/>
              <w:bottom w:val="nil"/>
              <w:right w:val="nil"/>
              <w:between w:val="nil"/>
            </w:pBdr>
            <w:spacing w:line="240" w:lineRule="auto"/>
            <w:rPr>
              <w:sz w:val="24"/>
              <w:szCs w:val="24"/>
            </w:rPr>
          </w:pPr>
          <w:proofErr w:type="spellStart"/>
          <w:r>
            <w:rPr>
              <w:sz w:val="24"/>
              <w:szCs w:val="24"/>
            </w:rPr>
            <w:t>Fourwaves</w:t>
          </w:r>
          <w:proofErr w:type="spellEnd"/>
          <w:r>
            <w:rPr>
              <w:sz w:val="24"/>
              <w:szCs w:val="24"/>
            </w:rPr>
            <w:t xml:space="preserve"> |</w:t>
          </w:r>
          <w:r>
            <w:rPr>
              <w:b/>
              <w:sz w:val="24"/>
              <w:szCs w:val="24"/>
            </w:rPr>
            <w:t xml:space="preserve"> </w:t>
          </w:r>
          <w:hyperlink r:id="rId2">
            <w:r>
              <w:rPr>
                <w:color w:val="1155CC"/>
                <w:sz w:val="24"/>
                <w:szCs w:val="24"/>
                <w:u w:val="single"/>
              </w:rPr>
              <w:t>info@fourwaves.com</w:t>
            </w:r>
          </w:hyperlink>
          <w:r>
            <w:rPr>
              <w:b/>
              <w:sz w:val="24"/>
              <w:szCs w:val="24"/>
            </w:rPr>
            <w:t xml:space="preserve"> </w:t>
          </w:r>
          <w:r>
            <w:rPr>
              <w:sz w:val="24"/>
              <w:szCs w:val="24"/>
            </w:rPr>
            <w:t>|</w:t>
          </w:r>
          <w:r>
            <w:rPr>
              <w:b/>
              <w:sz w:val="24"/>
              <w:szCs w:val="24"/>
            </w:rPr>
            <w:t xml:space="preserve"> </w:t>
          </w:r>
          <w:hyperlink r:id="rId3">
            <w:r>
              <w:rPr>
                <w:color w:val="1155CC"/>
                <w:sz w:val="24"/>
                <w:szCs w:val="24"/>
                <w:u w:val="single"/>
              </w:rPr>
              <w:t>fourwaves.com</w:t>
            </w:r>
          </w:hyperlink>
        </w:p>
        <w:p w14:paraId="7111A7EB" w14:textId="77777777" w:rsidR="00824718" w:rsidRDefault="00834F54">
          <w:pPr>
            <w:widowControl w:val="0"/>
            <w:pBdr>
              <w:top w:val="nil"/>
              <w:left w:val="nil"/>
              <w:bottom w:val="nil"/>
              <w:right w:val="nil"/>
              <w:between w:val="nil"/>
            </w:pBdr>
            <w:spacing w:line="240" w:lineRule="auto"/>
            <w:rPr>
              <w:sz w:val="24"/>
              <w:szCs w:val="24"/>
            </w:rPr>
          </w:pPr>
          <w:r>
            <w:rPr>
              <w:sz w:val="24"/>
              <w:szCs w:val="24"/>
            </w:rPr>
            <w:t>PO Box 4, Montreal, Quebec, Canada, H2L 4J7</w:t>
          </w:r>
        </w:p>
      </w:tc>
    </w:tr>
  </w:tbl>
  <w:p w14:paraId="0A098966" w14:textId="77777777" w:rsidR="00824718" w:rsidRDefault="00824718">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8E8F" w14:textId="77777777" w:rsidR="00824718" w:rsidRDefault="008247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123E" w14:textId="77777777" w:rsidR="00834F54" w:rsidRDefault="00834F54">
      <w:pPr>
        <w:spacing w:line="240" w:lineRule="auto"/>
      </w:pPr>
      <w:r>
        <w:separator/>
      </w:r>
    </w:p>
  </w:footnote>
  <w:footnote w:type="continuationSeparator" w:id="0">
    <w:p w14:paraId="2EA7AABA" w14:textId="77777777" w:rsidR="00834F54" w:rsidRDefault="00834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E2BF" w14:textId="77777777" w:rsidR="00824718" w:rsidRDefault="00824718">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077D" w14:textId="77777777" w:rsidR="00824718" w:rsidRDefault="00834F54">
    <w:r>
      <w:rPr>
        <w:noProof/>
      </w:rPr>
      <w:drawing>
        <wp:anchor distT="0" distB="0" distL="0" distR="0" simplePos="0" relativeHeight="251658240" behindDoc="0" locked="0" layoutInCell="1" hidden="0" allowOverlap="1" wp14:anchorId="5AF198EB" wp14:editId="018444F1">
          <wp:simplePos x="0" y="0"/>
          <wp:positionH relativeFrom="column">
            <wp:posOffset>-914399</wp:posOffset>
          </wp:positionH>
          <wp:positionV relativeFrom="paragraph">
            <wp:posOffset>-66674</wp:posOffset>
          </wp:positionV>
          <wp:extent cx="7767638" cy="1979254"/>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67638" cy="19792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B2D91"/>
    <w:multiLevelType w:val="multilevel"/>
    <w:tmpl w:val="B582F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F1CDA"/>
    <w:multiLevelType w:val="multilevel"/>
    <w:tmpl w:val="183A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1322330">
    <w:abstractNumId w:val="1"/>
  </w:num>
  <w:num w:numId="2" w16cid:durableId="961767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18"/>
    <w:rsid w:val="00824718"/>
    <w:rsid w:val="00834F54"/>
    <w:rsid w:val="00A7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5281"/>
  <w15:docId w15:val="{4FC94693-1B91-4D35-BD4D-CA3F4ADD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twebsit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fourwaves.com" TargetMode="External"/><Relationship Id="rId2" Type="http://schemas.openxmlformats.org/officeDocument/2006/relationships/hyperlink" Target="mailto:info@fourwave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coget</dc:creator>
  <cp:lastModifiedBy>fred coget</cp:lastModifiedBy>
  <cp:revision>2</cp:revision>
  <dcterms:created xsi:type="dcterms:W3CDTF">2022-05-04T19:50:00Z</dcterms:created>
  <dcterms:modified xsi:type="dcterms:W3CDTF">2022-05-04T19:50:00Z</dcterms:modified>
</cp:coreProperties>
</file>